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80A" w:rsidRDefault="00D9480A" w:rsidP="00D9480A">
      <w:pPr>
        <w:jc w:val="right"/>
        <w:rPr>
          <w:rFonts w:ascii="Arial" w:hAnsi="Arial" w:cs="Arial"/>
          <w:sz w:val="24"/>
          <w:szCs w:val="24"/>
        </w:rPr>
      </w:pPr>
    </w:p>
    <w:p w:rsidR="00D9480A" w:rsidRDefault="00D9480A" w:rsidP="00D9480A">
      <w:pPr>
        <w:jc w:val="right"/>
        <w:rPr>
          <w:rFonts w:ascii="Arial" w:hAnsi="Arial" w:cs="Arial"/>
        </w:rPr>
      </w:pPr>
    </w:p>
    <w:p w:rsidR="00247033" w:rsidRDefault="00247033" w:rsidP="00D9480A">
      <w:pPr>
        <w:jc w:val="right"/>
        <w:rPr>
          <w:rFonts w:ascii="Arial" w:hAnsi="Arial" w:cs="Arial"/>
        </w:rPr>
      </w:pPr>
    </w:p>
    <w:p w:rsidR="00925188" w:rsidRDefault="009D3A77" w:rsidP="009D3A77">
      <w:pPr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8890</wp:posOffset>
            </wp:positionV>
            <wp:extent cx="2479040" cy="781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10DB2D6" wp14:editId="103FAC4F">
            <wp:extent cx="2381250" cy="619125"/>
            <wp:effectExtent l="0" t="0" r="0" b="9525"/>
            <wp:docPr id="3" name="Immagine 3" descr="D:\Gianluca Lavoro\Gianluca - Corsi e CFP\Corsi 2018\180410-01 Picenni Apen Group e Lovato\Apen Group\180718-02 Logo\Apen_Aermax Logo ner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D:\Gianluca Lavoro\Gianluca - Corsi e CFP\Corsi 2018\180410-01 Picenni Apen Group e Lovato\Apen Group\180718-02 Logo\Apen_Aermax Logo nero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88" w:rsidRDefault="00925188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925188" w:rsidRPr="00925188" w:rsidRDefault="00925188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925188">
        <w:rPr>
          <w:rFonts w:ascii="Calibri" w:eastAsia="Calibri" w:hAnsi="Calibri"/>
          <w:b/>
          <w:sz w:val="36"/>
          <w:szCs w:val="36"/>
          <w:lang w:eastAsia="en-US"/>
        </w:rPr>
        <w:t>Incontro tecnico con crediti formativi</w:t>
      </w:r>
    </w:p>
    <w:p w:rsidR="00925188" w:rsidRPr="00925188" w:rsidRDefault="00925188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925188">
        <w:rPr>
          <w:rFonts w:ascii="Calibri" w:eastAsia="Calibri" w:hAnsi="Calibri"/>
          <w:b/>
          <w:sz w:val="36"/>
          <w:szCs w:val="36"/>
          <w:lang w:eastAsia="en-US"/>
        </w:rPr>
        <w:t xml:space="preserve">per Periti Industriali e Periti Industriali Laureati </w:t>
      </w:r>
    </w:p>
    <w:p w:rsidR="00925188" w:rsidRPr="00925188" w:rsidRDefault="00925188" w:rsidP="00925188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925188">
        <w:rPr>
          <w:rFonts w:ascii="Calibri" w:eastAsia="Calibri" w:hAnsi="Calibri"/>
          <w:b/>
          <w:sz w:val="36"/>
          <w:szCs w:val="36"/>
          <w:lang w:eastAsia="en-US"/>
        </w:rPr>
        <w:t xml:space="preserve">della Provincia di Mantova  </w:t>
      </w:r>
    </w:p>
    <w:p w:rsidR="00925188" w:rsidRPr="00925188" w:rsidRDefault="00925188" w:rsidP="00925188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925188" w:rsidRPr="00925188" w:rsidRDefault="00925188" w:rsidP="00925188">
      <w:pPr>
        <w:spacing w:after="160" w:line="256" w:lineRule="auto"/>
        <w:jc w:val="center"/>
        <w:rPr>
          <w:rFonts w:ascii="Calibri" w:eastAsia="Calibri" w:hAnsi="Calibri" w:cs="Tahoma"/>
          <w:b/>
          <w:sz w:val="32"/>
          <w:szCs w:val="28"/>
          <w:lang w:eastAsia="en-US"/>
        </w:rPr>
      </w:pPr>
      <w:r>
        <w:rPr>
          <w:rFonts w:ascii="Calibri" w:eastAsia="Calibri" w:hAnsi="Calibri" w:cs="Tahoma"/>
          <w:b/>
          <w:sz w:val="32"/>
          <w:szCs w:val="28"/>
          <w:lang w:eastAsia="en-US"/>
        </w:rPr>
        <w:t>“</w:t>
      </w:r>
      <w:r w:rsidRPr="00925188">
        <w:rPr>
          <w:rFonts w:ascii="Calibri" w:eastAsia="Calibri" w:hAnsi="Calibri" w:cs="Tahoma"/>
          <w:b/>
          <w:sz w:val="32"/>
          <w:szCs w:val="28"/>
          <w:lang w:eastAsia="en-US"/>
        </w:rPr>
        <w:t xml:space="preserve">Il nuovo Regolamento Europeo sui prodotti a gas EU/426/2016 (“GAR”) </w:t>
      </w:r>
    </w:p>
    <w:p w:rsidR="00925188" w:rsidRPr="00925188" w:rsidRDefault="00925188" w:rsidP="00925188">
      <w:pPr>
        <w:spacing w:after="160" w:line="256" w:lineRule="auto"/>
        <w:jc w:val="center"/>
        <w:rPr>
          <w:rFonts w:ascii="Calibri" w:eastAsia="Calibri" w:hAnsi="Calibri" w:cs="Tahoma"/>
          <w:b/>
          <w:sz w:val="32"/>
          <w:szCs w:val="28"/>
          <w:lang w:eastAsia="en-US"/>
        </w:rPr>
      </w:pPr>
      <w:r w:rsidRPr="00925188">
        <w:rPr>
          <w:rFonts w:ascii="Calibri" w:eastAsia="Calibri" w:hAnsi="Calibri" w:cs="Tahoma"/>
          <w:b/>
          <w:sz w:val="32"/>
          <w:szCs w:val="28"/>
          <w:lang w:eastAsia="en-US"/>
        </w:rPr>
        <w:t>e Il Regolamento Europeo “</w:t>
      </w:r>
      <w:proofErr w:type="spellStart"/>
      <w:r w:rsidRPr="00925188">
        <w:rPr>
          <w:rFonts w:ascii="Calibri" w:eastAsia="Calibri" w:hAnsi="Calibri" w:cs="Tahoma"/>
          <w:b/>
          <w:sz w:val="32"/>
          <w:szCs w:val="28"/>
          <w:lang w:eastAsia="en-US"/>
        </w:rPr>
        <w:t>ErP</w:t>
      </w:r>
      <w:proofErr w:type="spellEnd"/>
      <w:r w:rsidRPr="00925188">
        <w:rPr>
          <w:rFonts w:ascii="Calibri" w:eastAsia="Calibri" w:hAnsi="Calibri" w:cs="Tahoma"/>
          <w:b/>
          <w:sz w:val="32"/>
          <w:szCs w:val="28"/>
          <w:lang w:eastAsia="en-US"/>
        </w:rPr>
        <w:t>” sui prodotti di riscaldamento dell’aria (EU/2281/2016)”</w:t>
      </w:r>
    </w:p>
    <w:p w:rsidR="00925188" w:rsidRPr="00925188" w:rsidRDefault="00925188" w:rsidP="00925188">
      <w:pPr>
        <w:spacing w:after="160"/>
        <w:jc w:val="center"/>
        <w:rPr>
          <w:rFonts w:ascii="Calibri" w:eastAsia="Calibri" w:hAnsi="Calibri"/>
          <w:b/>
          <w:sz w:val="10"/>
          <w:szCs w:val="10"/>
          <w:lang w:eastAsia="en-US"/>
        </w:rPr>
      </w:pP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Con la presente siamo lieti di invitarla all’incontro tecnico formativo della durata di </w:t>
      </w:r>
      <w:r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3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ore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 con il riconoscimento di </w:t>
      </w:r>
      <w:r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3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crediti formativi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, previsto per </w:t>
      </w:r>
      <w:r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mercoledì 19 settembre 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2018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Il corso è organizzato presso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la sede del</w:t>
      </w:r>
      <w:r w:rsidR="004D7029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l’Ordine </w:t>
      </w:r>
      <w:bookmarkStart w:id="0" w:name="_GoBack"/>
      <w:bookmarkEnd w:id="0"/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dei Periti di Mantova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  <w:t>PROGRAMMA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14,00 Arrivo partecipanti e registrazione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14,15 Benvenuto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14,30 Inizio Lavori </w:t>
      </w:r>
    </w:p>
    <w:p w:rsidR="00925188" w:rsidRPr="00925188" w:rsidRDefault="00925188" w:rsidP="00925188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 w:rsidRPr="00925188">
        <w:rPr>
          <w:rFonts w:asciiTheme="minorHAnsi" w:hAnsiTheme="minorHAnsi"/>
          <w:color w:val="222222"/>
          <w:sz w:val="22"/>
          <w:szCs w:val="22"/>
        </w:rPr>
        <w:t>Il nuovo Regolamento Europeo sui prodotti a gas EU/426/2016 (“GAR”)</w:t>
      </w:r>
    </w:p>
    <w:p w:rsidR="00925188" w:rsidRPr="00925188" w:rsidRDefault="00925188" w:rsidP="00925188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 w:rsidRPr="00925188">
        <w:rPr>
          <w:rFonts w:asciiTheme="minorHAnsi" w:hAnsiTheme="minorHAnsi"/>
          <w:color w:val="222222"/>
          <w:sz w:val="22"/>
          <w:szCs w:val="22"/>
        </w:rPr>
        <w:t>Regolamento Europeo “</w:t>
      </w:r>
      <w:proofErr w:type="spellStart"/>
      <w:r w:rsidRPr="00925188">
        <w:rPr>
          <w:rFonts w:asciiTheme="minorHAnsi" w:hAnsiTheme="minorHAnsi"/>
          <w:color w:val="222222"/>
          <w:sz w:val="22"/>
          <w:szCs w:val="22"/>
        </w:rPr>
        <w:t>ErP</w:t>
      </w:r>
      <w:proofErr w:type="spellEnd"/>
      <w:r w:rsidRPr="00925188">
        <w:rPr>
          <w:rFonts w:asciiTheme="minorHAnsi" w:hAnsiTheme="minorHAnsi"/>
          <w:color w:val="222222"/>
          <w:sz w:val="22"/>
          <w:szCs w:val="22"/>
        </w:rPr>
        <w:t>” sui prodotti di riscaldamento dell’aria (EU/2281/2016)</w:t>
      </w:r>
    </w:p>
    <w:p w:rsidR="00925188" w:rsidRPr="00925188" w:rsidRDefault="00925188" w:rsidP="00925188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 w:rsidRPr="00925188">
        <w:rPr>
          <w:rFonts w:asciiTheme="minorHAnsi" w:hAnsiTheme="minorHAnsi"/>
          <w:color w:val="222222"/>
          <w:sz w:val="22"/>
          <w:szCs w:val="22"/>
        </w:rPr>
        <w:t>Conto Termico 2.0</w:t>
      </w:r>
    </w:p>
    <w:p w:rsidR="00925188" w:rsidRPr="00925188" w:rsidRDefault="00925188" w:rsidP="00925188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 w:rsidRPr="00925188">
        <w:rPr>
          <w:rFonts w:asciiTheme="minorHAnsi" w:hAnsiTheme="minorHAnsi"/>
          <w:color w:val="222222"/>
          <w:sz w:val="22"/>
          <w:szCs w:val="22"/>
        </w:rPr>
        <w:t>Incentivi fiscali: Legge Finanziaria 2018</w:t>
      </w:r>
    </w:p>
    <w:p w:rsidR="00925188" w:rsidRPr="00925188" w:rsidRDefault="00925188" w:rsidP="00925188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 w:rsidRPr="00925188">
        <w:rPr>
          <w:rFonts w:asciiTheme="minorHAnsi" w:hAnsiTheme="minorHAnsi"/>
          <w:color w:val="222222"/>
          <w:sz w:val="22"/>
          <w:szCs w:val="22"/>
        </w:rPr>
        <w:t xml:space="preserve">Il Sistema </w:t>
      </w:r>
      <w:proofErr w:type="spellStart"/>
      <w:r w:rsidRPr="00925188">
        <w:rPr>
          <w:rFonts w:asciiTheme="minorHAnsi" w:hAnsiTheme="minorHAnsi"/>
          <w:color w:val="222222"/>
          <w:sz w:val="22"/>
          <w:szCs w:val="22"/>
        </w:rPr>
        <w:t>AquaPump</w:t>
      </w:r>
      <w:proofErr w:type="spellEnd"/>
      <w:r w:rsidRPr="00925188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925188">
        <w:rPr>
          <w:rFonts w:asciiTheme="minorHAnsi" w:hAnsiTheme="minorHAnsi"/>
          <w:color w:val="222222"/>
          <w:sz w:val="22"/>
          <w:szCs w:val="22"/>
        </w:rPr>
        <w:t>Hybrid</w:t>
      </w:r>
      <w:proofErr w:type="spellEnd"/>
      <w:r w:rsidRPr="00925188">
        <w:rPr>
          <w:rFonts w:asciiTheme="minorHAnsi" w:hAnsiTheme="minorHAnsi"/>
          <w:color w:val="222222"/>
          <w:sz w:val="22"/>
          <w:szCs w:val="22"/>
        </w:rPr>
        <w:t xml:space="preserve">, Principali Caratteristiche </w:t>
      </w:r>
      <w:proofErr w:type="spellStart"/>
      <w:r w:rsidRPr="00925188">
        <w:rPr>
          <w:rFonts w:asciiTheme="minorHAnsi" w:hAnsiTheme="minorHAnsi"/>
          <w:color w:val="222222"/>
          <w:sz w:val="22"/>
          <w:szCs w:val="22"/>
        </w:rPr>
        <w:t>Tecniche,Funzionamento</w:t>
      </w:r>
      <w:proofErr w:type="spellEnd"/>
      <w:r w:rsidRPr="00925188">
        <w:rPr>
          <w:rFonts w:asciiTheme="minorHAnsi" w:hAnsiTheme="minorHAnsi"/>
          <w:color w:val="222222"/>
          <w:sz w:val="22"/>
          <w:szCs w:val="22"/>
        </w:rPr>
        <w:t xml:space="preserve"> e Possibili Soluzioni Applicative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7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0 Dibattito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7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30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Fine Lavori </w:t>
      </w:r>
    </w:p>
    <w:p w:rsidR="00925188" w:rsidRPr="00925188" w:rsidRDefault="00925188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Responsabile scientifico: 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Per. Ind. Gaiani Davide Fabio Mario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:rsidR="00925188" w:rsidRPr="00925188" w:rsidRDefault="00925188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</w:p>
    <w:p w:rsidR="00925188" w:rsidRPr="00925188" w:rsidRDefault="00925188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</w:p>
    <w:p w:rsidR="00925188" w:rsidRPr="00925188" w:rsidRDefault="00925188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  <w:r w:rsidRPr="00925188">
        <w:rPr>
          <w:rFonts w:ascii="Calibri" w:hAnsi="Calibri" w:cs="Tahoma"/>
          <w:color w:val="000000"/>
        </w:rPr>
        <w:t xml:space="preserve">Ai Periti Industriali e Periti Industriali Laureati, la partecipazione all’evento dà diritto a n. </w:t>
      </w:r>
      <w:r>
        <w:rPr>
          <w:rFonts w:ascii="Calibri" w:hAnsi="Calibri" w:cs="Tahoma"/>
          <w:color w:val="000000"/>
        </w:rPr>
        <w:t>3</w:t>
      </w:r>
      <w:r w:rsidRPr="00925188">
        <w:rPr>
          <w:rFonts w:ascii="Calibri" w:hAnsi="Calibri" w:cs="Tahoma"/>
          <w:color w:val="000000"/>
        </w:rPr>
        <w:t xml:space="preserve"> (tre) crediti formativi ai sensi del Regolamento per la Formazione Continua dei Periti Industriali in vigore dal 01.01.2017. </w:t>
      </w: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A6B55" w:rsidRPr="00335B1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A9C" w:rsidRDefault="00791A9C" w:rsidP="00477D5C">
      <w:r>
        <w:separator/>
      </w:r>
    </w:p>
  </w:endnote>
  <w:endnote w:type="continuationSeparator" w:id="0">
    <w:p w:rsidR="00791A9C" w:rsidRDefault="00791A9C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791A9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A9C" w:rsidRDefault="00791A9C" w:rsidP="00477D5C">
      <w:r>
        <w:separator/>
      </w:r>
    </w:p>
  </w:footnote>
  <w:footnote w:type="continuationSeparator" w:id="0">
    <w:p w:rsidR="00791A9C" w:rsidRDefault="00791A9C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6983"/>
    <w:multiLevelType w:val="hybridMultilevel"/>
    <w:tmpl w:val="486A8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0BD3"/>
    <w:multiLevelType w:val="hybridMultilevel"/>
    <w:tmpl w:val="B740C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22EB"/>
    <w:multiLevelType w:val="hybridMultilevel"/>
    <w:tmpl w:val="9A866E2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C"/>
    <w:rsid w:val="000A6B55"/>
    <w:rsid w:val="002014C8"/>
    <w:rsid w:val="00204CC3"/>
    <w:rsid w:val="00247033"/>
    <w:rsid w:val="00286332"/>
    <w:rsid w:val="00295D5B"/>
    <w:rsid w:val="00335B11"/>
    <w:rsid w:val="00477D5C"/>
    <w:rsid w:val="004D7029"/>
    <w:rsid w:val="00791A9C"/>
    <w:rsid w:val="00841F78"/>
    <w:rsid w:val="00925188"/>
    <w:rsid w:val="009D3A77"/>
    <w:rsid w:val="009F6EE7"/>
    <w:rsid w:val="00AE7479"/>
    <w:rsid w:val="00C238D6"/>
    <w:rsid w:val="00CB5409"/>
    <w:rsid w:val="00D9480A"/>
    <w:rsid w:val="00E23DAC"/>
    <w:rsid w:val="00F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ED410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2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collegio</cp:lastModifiedBy>
  <cp:revision>2</cp:revision>
  <dcterms:created xsi:type="dcterms:W3CDTF">2018-07-18T09:13:00Z</dcterms:created>
  <dcterms:modified xsi:type="dcterms:W3CDTF">2018-07-18T09:13:00Z</dcterms:modified>
</cp:coreProperties>
</file>