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33" w:rsidRDefault="00247033" w:rsidP="00D9480A">
      <w:pPr>
        <w:jc w:val="right"/>
        <w:rPr>
          <w:rFonts w:ascii="Arial" w:hAnsi="Arial" w:cs="Arial"/>
        </w:rPr>
      </w:pPr>
    </w:p>
    <w:p w:rsidR="00C94790" w:rsidRDefault="00C94790" w:rsidP="00D9480A">
      <w:pPr>
        <w:jc w:val="right"/>
        <w:rPr>
          <w:rFonts w:ascii="Arial" w:hAnsi="Arial" w:cs="Arial"/>
        </w:rPr>
      </w:pPr>
    </w:p>
    <w:p w:rsidR="00925188" w:rsidRDefault="009D3A77" w:rsidP="009D3A77">
      <w:pPr>
        <w:rPr>
          <w:noProof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2477F7" w:rsidRPr="002477F7">
        <w:rPr>
          <w:noProof/>
        </w:rPr>
        <w:drawing>
          <wp:inline distT="0" distB="0" distL="0" distR="0">
            <wp:extent cx="2139950" cy="571500"/>
            <wp:effectExtent l="0" t="0" r="0" b="0"/>
            <wp:docPr id="4" name="Immagine 4" descr="D:\Gianluca Lavoro\Gianluca - Corsi e CFP\Corsi 2019\Biral - Denis Merlin - DA FARE\190523\Biral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luca Lavoro\Gianluca - Corsi e CFP\Corsi 2019\Biral - Denis Merlin - DA FARE\190523\Biral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530">
        <w:rPr>
          <w:noProof/>
        </w:rPr>
        <w:t xml:space="preserve"> </w:t>
      </w:r>
    </w:p>
    <w:p w:rsidR="00C94790" w:rsidRDefault="00C9479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C94790" w:rsidRPr="00C94790" w:rsidRDefault="000B2530" w:rsidP="00C9479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B2530">
        <w:rPr>
          <w:rFonts w:ascii="Calibri" w:eastAsia="Calibri" w:hAnsi="Calibri"/>
          <w:b/>
          <w:sz w:val="36"/>
          <w:szCs w:val="36"/>
          <w:lang w:eastAsia="en-US"/>
        </w:rPr>
        <w:t>"</w:t>
      </w:r>
      <w:bookmarkStart w:id="0" w:name="_GoBack"/>
      <w:bookmarkEnd w:id="0"/>
      <w:r w:rsidR="00C94790">
        <w:rPr>
          <w:rFonts w:ascii="Calibri" w:eastAsia="Calibri" w:hAnsi="Calibri"/>
          <w:b/>
          <w:sz w:val="36"/>
          <w:szCs w:val="36"/>
          <w:lang w:eastAsia="en-US"/>
        </w:rPr>
        <w:t>Val</w:t>
      </w:r>
      <w:r w:rsidR="00C94790" w:rsidRPr="00C94790">
        <w:rPr>
          <w:rFonts w:ascii="Calibri" w:eastAsia="Calibri" w:hAnsi="Calibri"/>
          <w:b/>
          <w:sz w:val="36"/>
          <w:szCs w:val="36"/>
          <w:lang w:eastAsia="en-US"/>
        </w:rPr>
        <w:t>utare l’inserimento dei circolatori di moderna generazione</w:t>
      </w:r>
    </w:p>
    <w:p w:rsidR="00C94790" w:rsidRDefault="00C94790" w:rsidP="00C9479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proofErr w:type="gramStart"/>
      <w:r w:rsidRPr="00C94790">
        <w:rPr>
          <w:rFonts w:ascii="Calibri" w:eastAsia="Calibri" w:hAnsi="Calibri"/>
          <w:b/>
          <w:sz w:val="36"/>
          <w:szCs w:val="36"/>
          <w:lang w:eastAsia="en-US"/>
        </w:rPr>
        <w:t>all’interno</w:t>
      </w:r>
      <w:proofErr w:type="gramEnd"/>
      <w:r w:rsidRPr="00C94790">
        <w:rPr>
          <w:rFonts w:ascii="Calibri" w:eastAsia="Calibri" w:hAnsi="Calibri"/>
          <w:b/>
          <w:sz w:val="36"/>
          <w:szCs w:val="36"/>
          <w:lang w:eastAsia="en-US"/>
        </w:rPr>
        <w:t xml:space="preserve"> degli impianti, sia esistenti che nuovi</w:t>
      </w:r>
      <w:r>
        <w:rPr>
          <w:rFonts w:ascii="Calibri" w:eastAsia="Calibri" w:hAnsi="Calibri"/>
          <w:b/>
          <w:sz w:val="36"/>
          <w:szCs w:val="36"/>
          <w:lang w:eastAsia="en-US"/>
        </w:rPr>
        <w:t>”</w:t>
      </w:r>
    </w:p>
    <w:p w:rsidR="00925188" w:rsidRDefault="00925188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C94790" w:rsidRPr="00925188" w:rsidRDefault="00C94790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 w:rsidR="002477F7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vener</w:t>
      </w:r>
      <w:r w:rsidR="00665CE2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dì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2477F7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28 giugno</w:t>
      </w:r>
      <w:r w:rsidR="00665CE2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2019</w:t>
      </w:r>
    </w:p>
    <w:p w:rsid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:rsidR="00C94790" w:rsidRDefault="00C94790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C94790" w:rsidRPr="00925188" w:rsidRDefault="00C94790" w:rsidP="00C94790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OGGETTO</w:t>
      </w:r>
    </w:p>
    <w:p w:rsidR="00C94790" w:rsidRDefault="00C94790" w:rsidP="00C94790">
      <w:pPr>
        <w:spacing w:after="160"/>
        <w:contextualSpacing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C94790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L’incontro ha lo scopo di valutare l’inserimento dei circolatori di moderna generazione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Pr="00C94790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all’interno degli impianti, sia esistenti che nuovi, in base ai fattori caratterizzanti principali, quali vincoli normativi, economici, tecnici ecc.</w:t>
      </w:r>
    </w:p>
    <w:p w:rsidR="00C94790" w:rsidRDefault="00C94790" w:rsidP="00C94790">
      <w:pPr>
        <w:spacing w:after="160"/>
        <w:contextualSpacing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C94790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Partendo dai classici metodi di dimensionamento si valuterà come si sono evoluti i moderni prodotti e quali sono le considerazioni da effettuare nella scelta delle molteplici regolazioni oggi disponibili.</w:t>
      </w:r>
    </w:p>
    <w:p w:rsidR="00C94790" w:rsidRPr="00925188" w:rsidRDefault="00C94790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:rsidR="00C94790" w:rsidRPr="00C94790" w:rsidRDefault="00C94790" w:rsidP="00C94790">
      <w:pPr>
        <w:pStyle w:val="Paragrafoelenco"/>
        <w:numPr>
          <w:ilvl w:val="0"/>
          <w:numId w:val="5"/>
        </w:numPr>
        <w:shd w:val="clear" w:color="auto" w:fill="FFFFFF"/>
        <w:ind w:left="1843" w:hanging="850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Scelta del circolatore:</w:t>
      </w:r>
    </w:p>
    <w:p w:rsidR="00C94790" w:rsidRPr="00C94790" w:rsidRDefault="00C94790" w:rsidP="00C94790">
      <w:pPr>
        <w:pStyle w:val="Paragrafoelenco"/>
        <w:numPr>
          <w:ilvl w:val="0"/>
          <w:numId w:val="6"/>
        </w:numPr>
        <w:shd w:val="clear" w:color="auto" w:fill="FFFFFF"/>
        <w:ind w:left="1843" w:hanging="425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Analisi del campo normativo e degli indici di efficienza</w:t>
      </w:r>
    </w:p>
    <w:p w:rsidR="00C94790" w:rsidRPr="00C94790" w:rsidRDefault="00C94790" w:rsidP="00C94790">
      <w:pPr>
        <w:pStyle w:val="Paragrafoelenco"/>
        <w:numPr>
          <w:ilvl w:val="0"/>
          <w:numId w:val="6"/>
        </w:numPr>
        <w:shd w:val="clear" w:color="auto" w:fill="FFFFFF"/>
        <w:ind w:left="1843" w:hanging="425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Caratteristiche costruttive</w:t>
      </w:r>
    </w:p>
    <w:p w:rsidR="00C94790" w:rsidRPr="00C94790" w:rsidRDefault="00C94790" w:rsidP="00C94790">
      <w:pPr>
        <w:pStyle w:val="Paragrafoelenco"/>
        <w:numPr>
          <w:ilvl w:val="0"/>
          <w:numId w:val="6"/>
        </w:numPr>
        <w:shd w:val="clear" w:color="auto" w:fill="FFFFFF"/>
        <w:ind w:left="1843" w:hanging="425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Il dimensionamento e l’importanza del bilanciamento</w:t>
      </w:r>
    </w:p>
    <w:p w:rsidR="00C94790" w:rsidRPr="00C94790" w:rsidRDefault="00C94790" w:rsidP="00C94790">
      <w:pPr>
        <w:pStyle w:val="Paragrafoelenco"/>
        <w:numPr>
          <w:ilvl w:val="0"/>
          <w:numId w:val="5"/>
        </w:numPr>
        <w:shd w:val="clear" w:color="auto" w:fill="FFFFFF"/>
        <w:ind w:left="1843" w:hanging="850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Le modalità di funzionamento e regolazione</w:t>
      </w:r>
    </w:p>
    <w:p w:rsidR="00C94790" w:rsidRPr="00C94790" w:rsidRDefault="00C94790" w:rsidP="00C94790">
      <w:pPr>
        <w:pStyle w:val="Paragrafoelenco"/>
        <w:numPr>
          <w:ilvl w:val="0"/>
          <w:numId w:val="5"/>
        </w:numPr>
        <w:shd w:val="clear" w:color="auto" w:fill="FFFFFF"/>
        <w:ind w:left="1843" w:hanging="850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I controlli analogici e digitali: cenni e possibilità di regolazione</w:t>
      </w:r>
    </w:p>
    <w:p w:rsidR="00C94790" w:rsidRPr="00C94790" w:rsidRDefault="00C94790" w:rsidP="00C94790">
      <w:pPr>
        <w:pStyle w:val="Paragrafoelenco"/>
        <w:numPr>
          <w:ilvl w:val="0"/>
          <w:numId w:val="5"/>
        </w:numPr>
        <w:shd w:val="clear" w:color="auto" w:fill="FFFFFF"/>
        <w:ind w:left="1843" w:hanging="850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>Il Risparmio di risorse: energia, tempo e costi vivi</w:t>
      </w:r>
    </w:p>
    <w:p w:rsidR="00C94790" w:rsidRPr="00C94790" w:rsidRDefault="00C94790" w:rsidP="00C94790">
      <w:pPr>
        <w:pStyle w:val="Paragrafoelenco"/>
        <w:numPr>
          <w:ilvl w:val="0"/>
          <w:numId w:val="5"/>
        </w:numPr>
        <w:shd w:val="clear" w:color="auto" w:fill="FFFFFF"/>
        <w:ind w:left="1843" w:hanging="850"/>
        <w:rPr>
          <w:rFonts w:asciiTheme="minorHAnsi" w:hAnsiTheme="minorHAnsi"/>
          <w:color w:val="222222"/>
          <w:sz w:val="22"/>
          <w:szCs w:val="22"/>
        </w:rPr>
      </w:pPr>
      <w:r w:rsidRPr="00C94790">
        <w:rPr>
          <w:rFonts w:asciiTheme="minorHAnsi" w:hAnsiTheme="minorHAnsi"/>
          <w:color w:val="222222"/>
          <w:sz w:val="22"/>
          <w:szCs w:val="22"/>
        </w:rPr>
        <w:t xml:space="preserve">Breve presentazione della gamma Italia di </w:t>
      </w:r>
      <w:proofErr w:type="spellStart"/>
      <w:r w:rsidRPr="00C94790">
        <w:rPr>
          <w:rFonts w:asciiTheme="minorHAnsi" w:hAnsiTheme="minorHAnsi"/>
          <w:color w:val="222222"/>
          <w:sz w:val="22"/>
          <w:szCs w:val="22"/>
        </w:rPr>
        <w:t>Biral</w:t>
      </w:r>
      <w:proofErr w:type="spellEnd"/>
    </w:p>
    <w:p w:rsidR="000B2530" w:rsidRPr="000B2530" w:rsidRDefault="000B2530" w:rsidP="000B2530">
      <w:pPr>
        <w:pStyle w:val="Paragrafoelenco"/>
        <w:shd w:val="clear" w:color="auto" w:fill="FFFFFF"/>
        <w:ind w:left="1440"/>
        <w:rPr>
          <w:rFonts w:asciiTheme="minorHAnsi" w:hAnsiTheme="minorHAnsi"/>
          <w:color w:val="222222"/>
          <w:sz w:val="24"/>
          <w:szCs w:val="24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:rsid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 w:rsidR="00665CE2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 w:rsidR="00C9479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Geom. Gianluigi Censi, responsabile tecnico </w:t>
      </w:r>
      <w:proofErr w:type="spellStart"/>
      <w:r w:rsidR="00C9479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Biral</w:t>
      </w:r>
      <w:proofErr w:type="spellEnd"/>
      <w:r w:rsidR="00C9479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Italia</w:t>
      </w:r>
    </w:p>
    <w:p w:rsidR="00665CE2" w:rsidRDefault="00665CE2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</w:p>
    <w:p w:rsidR="00C94790" w:rsidRPr="00925188" w:rsidRDefault="00C94790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</w:p>
    <w:p w:rsidR="000A6B55" w:rsidRPr="00335B11" w:rsidRDefault="00925188" w:rsidP="00C9479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13" w:rsidRDefault="00D52113" w:rsidP="00477D5C">
      <w:r>
        <w:separator/>
      </w:r>
    </w:p>
  </w:endnote>
  <w:endnote w:type="continuationSeparator" w:id="0">
    <w:p w:rsidR="00D52113" w:rsidRDefault="00D52113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D52113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13" w:rsidRDefault="00D52113" w:rsidP="00477D5C">
      <w:r>
        <w:separator/>
      </w:r>
    </w:p>
  </w:footnote>
  <w:footnote w:type="continuationSeparator" w:id="0">
    <w:p w:rsidR="00D52113" w:rsidRDefault="00D52113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e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della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provincia di Mantova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7A1"/>
    <w:multiLevelType w:val="hybridMultilevel"/>
    <w:tmpl w:val="145C6D04"/>
    <w:lvl w:ilvl="0" w:tplc="F6244A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BB4"/>
    <w:multiLevelType w:val="hybridMultilevel"/>
    <w:tmpl w:val="43462FEA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A6B55"/>
    <w:rsid w:val="000B2530"/>
    <w:rsid w:val="002014C8"/>
    <w:rsid w:val="00204CC3"/>
    <w:rsid w:val="00247033"/>
    <w:rsid w:val="002477F7"/>
    <w:rsid w:val="00286332"/>
    <w:rsid w:val="00295D5B"/>
    <w:rsid w:val="00335B11"/>
    <w:rsid w:val="00373214"/>
    <w:rsid w:val="00477D5C"/>
    <w:rsid w:val="00493A69"/>
    <w:rsid w:val="004D7029"/>
    <w:rsid w:val="00665CE2"/>
    <w:rsid w:val="00791A9C"/>
    <w:rsid w:val="00841F78"/>
    <w:rsid w:val="00925188"/>
    <w:rsid w:val="009D3A77"/>
    <w:rsid w:val="009F6EE7"/>
    <w:rsid w:val="00AE7479"/>
    <w:rsid w:val="00AF2CD1"/>
    <w:rsid w:val="00C238D6"/>
    <w:rsid w:val="00C40C50"/>
    <w:rsid w:val="00C94790"/>
    <w:rsid w:val="00CA0690"/>
    <w:rsid w:val="00CB5409"/>
    <w:rsid w:val="00D52113"/>
    <w:rsid w:val="00D9480A"/>
    <w:rsid w:val="00E23DAC"/>
    <w:rsid w:val="00E254A8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790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</cp:lastModifiedBy>
  <cp:revision>10</cp:revision>
  <dcterms:created xsi:type="dcterms:W3CDTF">2018-07-18T09:13:00Z</dcterms:created>
  <dcterms:modified xsi:type="dcterms:W3CDTF">2019-05-27T17:16:00Z</dcterms:modified>
</cp:coreProperties>
</file>